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35"/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5660"/>
        <w:gridCol w:w="666"/>
        <w:gridCol w:w="4323"/>
      </w:tblGrid>
      <w:tr>
        <w:trPr>
          <w:trHeight w:val="536"/>
        </w:trPr>
        <w:tc>
          <w:tcPr>
            <w:tcW w:w="4839" w:type="dxa"/>
            <w:shd w:val="clear" w:color="auto" w:fill="D9D9D9" w:themeFill="background1" w:themeFillShade="D9"/>
          </w:tcPr>
          <w:p>
            <w:pPr>
              <w:rPr>
                <w:b/>
                <w:u w:val="single"/>
              </w:rPr>
            </w:pPr>
            <w:r>
              <w:rPr>
                <w:b/>
                <w:sz w:val="40"/>
                <w:u w:val="single"/>
              </w:rPr>
              <w:t>Romanticism</w:t>
            </w:r>
          </w:p>
        </w:tc>
        <w:tc>
          <w:tcPr>
            <w:tcW w:w="5660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Quotations</w:t>
            </w:r>
          </w:p>
        </w:tc>
        <w:tc>
          <w:tcPr>
            <w:tcW w:w="4989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Key Dates</w:t>
            </w:r>
          </w:p>
        </w:tc>
      </w:tr>
      <w:tr>
        <w:trPr>
          <w:trHeight w:val="372"/>
        </w:trPr>
        <w:tc>
          <w:tcPr>
            <w:tcW w:w="4839" w:type="dxa"/>
            <w:vMerge w:val="restart"/>
          </w:tcPr>
          <w:p>
            <w:pPr>
              <w:pStyle w:val="NoSpacing"/>
            </w:pPr>
            <w:r>
              <w:t>Etymology:</w:t>
            </w:r>
          </w:p>
          <w:p>
            <w:pPr>
              <w:pStyle w:val="NoSpacing"/>
            </w:pPr>
            <w:r>
              <w:t xml:space="preserve">The group of words with the root ‘Roman’ in the various European languages, such as romance and Romanesque, has a complicated history, but by the middle of the 18th century "romantic" in English and </w:t>
            </w:r>
            <w:proofErr w:type="spellStart"/>
            <w:r>
              <w:t>romantique</w:t>
            </w:r>
            <w:proofErr w:type="spellEnd"/>
            <w:r>
              <w:t xml:space="preserve"> in French were both in common use as adjectives of praise for natural phenomena such as views and sunsets, in a sense close to modern English usage but without the sexual connotation.</w:t>
            </w:r>
          </w:p>
        </w:tc>
        <w:tc>
          <w:tcPr>
            <w:tcW w:w="5660" w:type="dxa"/>
            <w:vMerge w:val="restart"/>
          </w:tcPr>
          <w:p>
            <w:pPr>
              <w:rPr>
                <w:lang w:val="en"/>
              </w:rPr>
            </w:pPr>
            <w:r>
              <w:rPr>
                <w:lang w:val="en"/>
              </w:rPr>
              <w:t xml:space="preserve">"Romanticism is precisely situated neither in choice of subject nor exact truth, but in the way of feeling” </w:t>
            </w:r>
          </w:p>
          <w:p>
            <w:pPr>
              <w:jc w:val="right"/>
              <w:rPr>
                <w:lang w:val="en"/>
              </w:rPr>
            </w:pPr>
            <w:r>
              <w:rPr>
                <w:lang w:val="en"/>
              </w:rPr>
              <w:t>From a speech by Charles Baudelaire.</w:t>
            </w:r>
          </w:p>
        </w:tc>
        <w:tc>
          <w:tcPr>
            <w:tcW w:w="666" w:type="dxa"/>
          </w:tcPr>
          <w:p>
            <w:r>
              <w:t>1760</w:t>
            </w:r>
          </w:p>
        </w:tc>
        <w:tc>
          <w:tcPr>
            <w:tcW w:w="4323" w:type="dxa"/>
          </w:tcPr>
          <w:p>
            <w:r>
              <w:t>George III is crowned</w:t>
            </w:r>
          </w:p>
        </w:tc>
      </w:tr>
      <w:tr>
        <w:trPr>
          <w:trHeight w:val="502"/>
        </w:trPr>
        <w:tc>
          <w:tcPr>
            <w:tcW w:w="4839" w:type="dxa"/>
            <w:vMerge/>
          </w:tcPr>
          <w:p>
            <w:pPr>
              <w:pStyle w:val="NoSpacing"/>
            </w:pPr>
          </w:p>
        </w:tc>
        <w:tc>
          <w:tcPr>
            <w:tcW w:w="5660" w:type="dxa"/>
            <w:vMerge/>
          </w:tcPr>
          <w:p>
            <w:pPr>
              <w:rPr>
                <w:lang w:val="en"/>
              </w:rPr>
            </w:pPr>
          </w:p>
        </w:tc>
        <w:tc>
          <w:tcPr>
            <w:tcW w:w="666" w:type="dxa"/>
          </w:tcPr>
          <w:p>
            <w:r>
              <w:t>1773</w:t>
            </w:r>
          </w:p>
        </w:tc>
        <w:tc>
          <w:tcPr>
            <w:tcW w:w="4323" w:type="dxa"/>
          </w:tcPr>
          <w:p>
            <w:r>
              <w:t>Boston Tea Party</w:t>
            </w:r>
          </w:p>
        </w:tc>
      </w:tr>
      <w:tr>
        <w:trPr>
          <w:trHeight w:val="303"/>
        </w:trPr>
        <w:tc>
          <w:tcPr>
            <w:tcW w:w="4839" w:type="dxa"/>
            <w:vMerge/>
          </w:tcPr>
          <w:p>
            <w:pPr>
              <w:pStyle w:val="NoSpacing"/>
            </w:pPr>
          </w:p>
        </w:tc>
        <w:tc>
          <w:tcPr>
            <w:tcW w:w="5660" w:type="dxa"/>
            <w:vMerge/>
          </w:tcPr>
          <w:p>
            <w:pPr>
              <w:rPr>
                <w:lang w:val="en"/>
              </w:rPr>
            </w:pPr>
          </w:p>
        </w:tc>
        <w:tc>
          <w:tcPr>
            <w:tcW w:w="666" w:type="dxa"/>
          </w:tcPr>
          <w:p>
            <w:r>
              <w:t>1776</w:t>
            </w:r>
          </w:p>
        </w:tc>
        <w:tc>
          <w:tcPr>
            <w:tcW w:w="4323" w:type="dxa"/>
          </w:tcPr>
          <w:p>
            <w:r>
              <w:t>American Declaration of Independence</w:t>
            </w:r>
          </w:p>
        </w:tc>
      </w:tr>
      <w:tr>
        <w:trPr>
          <w:trHeight w:val="519"/>
        </w:trPr>
        <w:tc>
          <w:tcPr>
            <w:tcW w:w="4839" w:type="dxa"/>
            <w:vMerge/>
          </w:tcPr>
          <w:p>
            <w:pPr>
              <w:pStyle w:val="NoSpacing"/>
            </w:pPr>
          </w:p>
        </w:tc>
        <w:tc>
          <w:tcPr>
            <w:tcW w:w="5660" w:type="dxa"/>
            <w:vMerge w:val="restart"/>
          </w:tcPr>
          <w:p>
            <w:r>
              <w:t xml:space="preserve">“I wandered lonely as a cloud” </w:t>
            </w:r>
          </w:p>
          <w:p>
            <w:pPr>
              <w:jc w:val="right"/>
              <w:rPr>
                <w:lang w:val="en"/>
              </w:rPr>
            </w:pPr>
            <w:r>
              <w:t>William Wordsworth.</w:t>
            </w:r>
          </w:p>
        </w:tc>
        <w:tc>
          <w:tcPr>
            <w:tcW w:w="666" w:type="dxa"/>
          </w:tcPr>
          <w:p>
            <w:r>
              <w:t>1783</w:t>
            </w:r>
          </w:p>
        </w:tc>
        <w:tc>
          <w:tcPr>
            <w:tcW w:w="4323" w:type="dxa"/>
          </w:tcPr>
          <w:p>
            <w:r>
              <w:t>William Pitt elected Prime Minister (aged 24)</w:t>
            </w:r>
          </w:p>
        </w:tc>
      </w:tr>
      <w:tr>
        <w:trPr>
          <w:trHeight w:val="269"/>
        </w:trPr>
        <w:tc>
          <w:tcPr>
            <w:tcW w:w="4839" w:type="dxa"/>
            <w:vMerge/>
          </w:tcPr>
          <w:p>
            <w:pPr>
              <w:pStyle w:val="NoSpacing"/>
            </w:pPr>
          </w:p>
        </w:tc>
        <w:tc>
          <w:tcPr>
            <w:tcW w:w="5660" w:type="dxa"/>
            <w:vMerge/>
          </w:tcPr>
          <w:p/>
        </w:tc>
        <w:tc>
          <w:tcPr>
            <w:tcW w:w="666" w:type="dxa"/>
            <w:vMerge w:val="restart"/>
          </w:tcPr>
          <w:p>
            <w:r>
              <w:t>1787</w:t>
            </w:r>
          </w:p>
        </w:tc>
        <w:tc>
          <w:tcPr>
            <w:tcW w:w="4323" w:type="dxa"/>
            <w:vMerge w:val="restart"/>
          </w:tcPr>
          <w:p>
            <w:r>
              <w:t>American Constitution signed</w:t>
            </w:r>
          </w:p>
        </w:tc>
      </w:tr>
      <w:tr>
        <w:trPr>
          <w:trHeight w:val="269"/>
        </w:trPr>
        <w:tc>
          <w:tcPr>
            <w:tcW w:w="4839" w:type="dxa"/>
            <w:vMerge/>
            <w:tcBorders>
              <w:bottom w:val="single" w:sz="4" w:space="0" w:color="auto"/>
            </w:tcBorders>
          </w:tcPr>
          <w:p>
            <w:pPr>
              <w:pStyle w:val="NoSpacing"/>
            </w:pPr>
          </w:p>
        </w:tc>
        <w:tc>
          <w:tcPr>
            <w:tcW w:w="5660" w:type="dxa"/>
            <w:vMerge w:val="restart"/>
            <w:tcBorders>
              <w:bottom w:val="single" w:sz="4" w:space="0" w:color="auto"/>
            </w:tcBorders>
          </w:tcPr>
          <w:p>
            <w:pPr>
              <w:rPr>
                <w:lang w:val="en"/>
              </w:rPr>
            </w:pPr>
            <w:r>
              <w:rPr>
                <w:lang w:val="en"/>
              </w:rPr>
              <w:t xml:space="preserve">“My </w:t>
            </w:r>
            <w:proofErr w:type="spellStart"/>
            <w:r>
              <w:rPr>
                <w:lang w:val="en"/>
              </w:rPr>
              <w:t>luve</w:t>
            </w:r>
            <w:proofErr w:type="spellEnd"/>
            <w:r>
              <w:rPr>
                <w:lang w:val="en"/>
              </w:rPr>
              <w:t xml:space="preserve"> is like a red, red rose / That’s newly sprung in June” </w:t>
            </w:r>
          </w:p>
          <w:p>
            <w:pPr>
              <w:jc w:val="right"/>
            </w:pPr>
            <w:bookmarkStart w:id="0" w:name="_GoBack"/>
            <w:bookmarkEnd w:id="0"/>
            <w:r>
              <w:rPr>
                <w:lang w:val="en"/>
              </w:rPr>
              <w:t>Robert Burns.</w:t>
            </w:r>
          </w:p>
        </w:tc>
        <w:tc>
          <w:tcPr>
            <w:tcW w:w="666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4323" w:type="dxa"/>
            <w:vMerge/>
            <w:tcBorders>
              <w:bottom w:val="single" w:sz="4" w:space="0" w:color="auto"/>
            </w:tcBorders>
          </w:tcPr>
          <w:p/>
        </w:tc>
      </w:tr>
      <w:tr>
        <w:trPr>
          <w:trHeight w:val="269"/>
        </w:trPr>
        <w:tc>
          <w:tcPr>
            <w:tcW w:w="4839" w:type="dxa"/>
            <w:vMerge w:val="restart"/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Poets</w:t>
            </w:r>
          </w:p>
          <w:p>
            <w:pPr>
              <w:pStyle w:val="NoSpacing"/>
              <w:jc w:val="center"/>
            </w:pPr>
            <w:r>
              <w:t>(dates, significant texts)</w:t>
            </w:r>
          </w:p>
        </w:tc>
        <w:tc>
          <w:tcPr>
            <w:tcW w:w="5660" w:type="dxa"/>
            <w:vMerge/>
            <w:tcBorders>
              <w:bottom w:val="single" w:sz="4" w:space="0" w:color="auto"/>
            </w:tcBorders>
          </w:tcPr>
          <w:p>
            <w:pPr>
              <w:jc w:val="right"/>
            </w:pPr>
          </w:p>
        </w:tc>
        <w:tc>
          <w:tcPr>
            <w:tcW w:w="666" w:type="dxa"/>
            <w:vMerge w:val="restart"/>
          </w:tcPr>
          <w:p>
            <w:r>
              <w:t>1788</w:t>
            </w:r>
          </w:p>
        </w:tc>
        <w:tc>
          <w:tcPr>
            <w:tcW w:w="4323" w:type="dxa"/>
            <w:vMerge w:val="restart"/>
          </w:tcPr>
          <w:p>
            <w:pPr>
              <w:pStyle w:val="NoSpacing"/>
            </w:pPr>
            <w:r>
              <w:t>George III suffers mental breakdown (officially replaced by son as Regent, 1811)</w:t>
            </w:r>
          </w:p>
          <w:p>
            <w:r>
              <w:t xml:space="preserve">Storming of the Bastille in Paris </w:t>
            </w:r>
          </w:p>
        </w:tc>
      </w:tr>
      <w:tr>
        <w:trPr>
          <w:trHeight w:val="342"/>
        </w:trPr>
        <w:tc>
          <w:tcPr>
            <w:tcW w:w="48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5660" w:type="dxa"/>
            <w:vMerge w:val="restart"/>
          </w:tcPr>
          <w:p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And did those feet in ancient time </w:t>
            </w:r>
          </w:p>
          <w:p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Walk upon England's mountains green? </w:t>
            </w:r>
          </w:p>
          <w:p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And was the holy Lamb of God </w:t>
            </w:r>
          </w:p>
          <w:p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On England's pleasant pastures seen? </w:t>
            </w:r>
          </w:p>
          <w:p>
            <w:pPr>
              <w:pStyle w:val="NoSpacing"/>
              <w:rPr>
                <w:lang w:val="en"/>
              </w:rPr>
            </w:pPr>
          </w:p>
          <w:p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And did the Countenance Divine </w:t>
            </w:r>
          </w:p>
          <w:p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Shine forth upon our clouded hills? </w:t>
            </w:r>
          </w:p>
          <w:p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And was Jerusalem </w:t>
            </w:r>
            <w:proofErr w:type="spellStart"/>
            <w:r>
              <w:rPr>
                <w:lang w:val="en"/>
              </w:rPr>
              <w:t>builded</w:t>
            </w:r>
            <w:proofErr w:type="spellEnd"/>
            <w:r>
              <w:rPr>
                <w:lang w:val="en"/>
              </w:rPr>
              <w:t xml:space="preserve"> here </w:t>
            </w:r>
          </w:p>
          <w:p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Among these dark Satanic Mills?</w:t>
            </w:r>
          </w:p>
          <w:p>
            <w:pPr>
              <w:jc w:val="right"/>
            </w:pPr>
            <w:r>
              <w:t>William Blake, ‘Jerusalem’.</w:t>
            </w:r>
          </w:p>
        </w:tc>
        <w:tc>
          <w:tcPr>
            <w:tcW w:w="666" w:type="dxa"/>
            <w:vMerge/>
          </w:tcPr>
          <w:p/>
        </w:tc>
        <w:tc>
          <w:tcPr>
            <w:tcW w:w="4323" w:type="dxa"/>
            <w:vMerge/>
          </w:tcPr>
          <w:p/>
        </w:tc>
      </w:tr>
      <w:tr>
        <w:trPr>
          <w:trHeight w:val="603"/>
        </w:trPr>
        <w:tc>
          <w:tcPr>
            <w:tcW w:w="4839" w:type="dxa"/>
          </w:tcPr>
          <w:p>
            <w:pPr>
              <w:rPr>
                <w:b/>
                <w:sz w:val="28"/>
              </w:rPr>
            </w:pPr>
            <w:r>
              <w:t xml:space="preserve">William Blake </w:t>
            </w:r>
            <w:proofErr w:type="gramStart"/>
            <w:r>
              <w:t>( 1757</w:t>
            </w:r>
            <w:proofErr w:type="gramEnd"/>
            <w:r>
              <w:t xml:space="preserve">-1827):  </w:t>
            </w:r>
            <w:r>
              <w:rPr>
                <w:i/>
              </w:rPr>
              <w:t>Songs of Innocence and Experience</w:t>
            </w:r>
            <w:r>
              <w:t>; ‘Jerusalem’.</w:t>
            </w:r>
          </w:p>
        </w:tc>
        <w:tc>
          <w:tcPr>
            <w:tcW w:w="5660" w:type="dxa"/>
            <w:vMerge/>
          </w:tcPr>
          <w:p>
            <w:pPr>
              <w:pStyle w:val="NoSpacing"/>
              <w:rPr>
                <w:lang w:val="en"/>
              </w:rPr>
            </w:pPr>
          </w:p>
        </w:tc>
        <w:tc>
          <w:tcPr>
            <w:tcW w:w="666" w:type="dxa"/>
          </w:tcPr>
          <w:p>
            <w:r>
              <w:t>1805</w:t>
            </w:r>
          </w:p>
        </w:tc>
        <w:tc>
          <w:tcPr>
            <w:tcW w:w="4323" w:type="dxa"/>
          </w:tcPr>
          <w:p>
            <w:r>
              <w:t>Napoleon defeats Russian and Austrian armies at Austerlitz</w:t>
            </w:r>
          </w:p>
        </w:tc>
      </w:tr>
      <w:tr>
        <w:trPr>
          <w:trHeight w:val="627"/>
        </w:trPr>
        <w:tc>
          <w:tcPr>
            <w:tcW w:w="4839" w:type="dxa"/>
          </w:tcPr>
          <w:p>
            <w:r>
              <w:t xml:space="preserve">Samuel Taylor Coleridge (1772-1834): ‘The </w:t>
            </w:r>
            <w:proofErr w:type="spellStart"/>
            <w:r>
              <w:t>Ryme</w:t>
            </w:r>
            <w:proofErr w:type="spellEnd"/>
            <w:r>
              <w:t xml:space="preserve"> of the Ancient Mariner’; ‘</w:t>
            </w:r>
            <w:proofErr w:type="spellStart"/>
            <w:r>
              <w:t>Kubla</w:t>
            </w:r>
            <w:proofErr w:type="spellEnd"/>
            <w:r>
              <w:t xml:space="preserve"> Khan’</w:t>
            </w:r>
          </w:p>
        </w:tc>
        <w:tc>
          <w:tcPr>
            <w:tcW w:w="5660" w:type="dxa"/>
            <w:vMerge/>
          </w:tcPr>
          <w:p>
            <w:pPr>
              <w:pStyle w:val="NoSpacing"/>
              <w:rPr>
                <w:lang w:val="en"/>
              </w:rPr>
            </w:pPr>
          </w:p>
        </w:tc>
        <w:tc>
          <w:tcPr>
            <w:tcW w:w="666" w:type="dxa"/>
          </w:tcPr>
          <w:p>
            <w:r>
              <w:t>1807</w:t>
            </w:r>
          </w:p>
        </w:tc>
        <w:tc>
          <w:tcPr>
            <w:tcW w:w="4323" w:type="dxa"/>
          </w:tcPr>
          <w:p>
            <w:r>
              <w:t>Abolition Act receives royal assent, abolishing the slave trade</w:t>
            </w:r>
          </w:p>
        </w:tc>
      </w:tr>
      <w:tr>
        <w:trPr>
          <w:trHeight w:val="602"/>
        </w:trPr>
        <w:tc>
          <w:tcPr>
            <w:tcW w:w="4839" w:type="dxa"/>
          </w:tcPr>
          <w:p>
            <w:r>
              <w:t xml:space="preserve">William </w:t>
            </w:r>
            <w:proofErr w:type="gramStart"/>
            <w:r>
              <w:t>Wordsworth  (</w:t>
            </w:r>
            <w:proofErr w:type="gramEnd"/>
            <w:r>
              <w:t xml:space="preserve">1770-1850): </w:t>
            </w:r>
            <w:r>
              <w:rPr>
                <w:i/>
              </w:rPr>
              <w:t>The Lyrical Ballads</w:t>
            </w:r>
            <w:r>
              <w:t xml:space="preserve"> (with Coleridge); ‘The Prelude’.</w:t>
            </w:r>
          </w:p>
        </w:tc>
        <w:tc>
          <w:tcPr>
            <w:tcW w:w="5660" w:type="dxa"/>
            <w:vMerge/>
          </w:tcPr>
          <w:p>
            <w:pPr>
              <w:pStyle w:val="NoSpacing"/>
              <w:rPr>
                <w:lang w:val="en"/>
              </w:rPr>
            </w:pPr>
          </w:p>
        </w:tc>
        <w:tc>
          <w:tcPr>
            <w:tcW w:w="666" w:type="dxa"/>
          </w:tcPr>
          <w:p>
            <w:r>
              <w:t>1815</w:t>
            </w:r>
          </w:p>
        </w:tc>
        <w:tc>
          <w:tcPr>
            <w:tcW w:w="4323" w:type="dxa"/>
          </w:tcPr>
          <w:p>
            <w:r>
              <w:t>Napoleon defeated at Waterloo; exiled to Saint Helena in August</w:t>
            </w:r>
          </w:p>
        </w:tc>
      </w:tr>
      <w:tr>
        <w:trPr>
          <w:trHeight w:val="318"/>
        </w:trPr>
        <w:tc>
          <w:tcPr>
            <w:tcW w:w="4839" w:type="dxa"/>
          </w:tcPr>
          <w:p>
            <w:r>
              <w:t xml:space="preserve">Percy Shelley (1792-1822): </w:t>
            </w:r>
            <w:r>
              <w:rPr>
                <w:i/>
              </w:rPr>
              <w:t>Prometheus Unbound</w:t>
            </w:r>
            <w:r>
              <w:t>.</w:t>
            </w:r>
          </w:p>
        </w:tc>
        <w:tc>
          <w:tcPr>
            <w:tcW w:w="5660" w:type="dxa"/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b/>
                <w:sz w:val="28"/>
                <w:lang w:val="en"/>
              </w:rPr>
            </w:pPr>
            <w:r>
              <w:rPr>
                <w:b/>
                <w:sz w:val="28"/>
                <w:lang w:val="en"/>
              </w:rPr>
              <w:t>Key Novelists</w:t>
            </w:r>
          </w:p>
          <w:p>
            <w:pPr>
              <w:pStyle w:val="NoSpacing"/>
              <w:tabs>
                <w:tab w:val="left" w:pos="1507"/>
                <w:tab w:val="center" w:pos="2722"/>
              </w:tabs>
              <w:jc w:val="center"/>
              <w:rPr>
                <w:lang w:val="en"/>
              </w:rPr>
            </w:pPr>
            <w:r>
              <w:t>(dates, significant texts)</w:t>
            </w:r>
          </w:p>
        </w:tc>
        <w:tc>
          <w:tcPr>
            <w:tcW w:w="666" w:type="dxa"/>
          </w:tcPr>
          <w:p>
            <w:r>
              <w:t>1832</w:t>
            </w:r>
          </w:p>
        </w:tc>
        <w:tc>
          <w:tcPr>
            <w:tcW w:w="4323" w:type="dxa"/>
          </w:tcPr>
          <w:p>
            <w:r>
              <w:t>Reform Bill receives royal assent</w:t>
            </w:r>
          </w:p>
        </w:tc>
      </w:tr>
      <w:tr>
        <w:trPr>
          <w:trHeight w:val="569"/>
        </w:trPr>
        <w:tc>
          <w:tcPr>
            <w:tcW w:w="4839" w:type="dxa"/>
            <w:tcBorders>
              <w:bottom w:val="single" w:sz="4" w:space="0" w:color="auto"/>
            </w:tcBorders>
          </w:tcPr>
          <w:p>
            <w:r>
              <w:t xml:space="preserve">Lord </w:t>
            </w:r>
            <w:proofErr w:type="gramStart"/>
            <w:r>
              <w:t>Byron  (</w:t>
            </w:r>
            <w:proofErr w:type="gramEnd"/>
            <w:r>
              <w:t xml:space="preserve">1788-1824):  ‘When we two Parted’; </w:t>
            </w:r>
            <w:r>
              <w:rPr>
                <w:i/>
              </w:rPr>
              <w:t>Don Juan</w:t>
            </w:r>
            <w:r>
              <w:t>;  ‘She Walks in Beauty’.</w:t>
            </w:r>
          </w:p>
        </w:tc>
        <w:tc>
          <w:tcPr>
            <w:tcW w:w="5660" w:type="dxa"/>
          </w:tcPr>
          <w:p>
            <w:r>
              <w:t xml:space="preserve">Mary Shelley (1797-1851): </w:t>
            </w:r>
            <w:r>
              <w:rPr>
                <w:i/>
              </w:rPr>
              <w:t>Frankenstein</w:t>
            </w:r>
            <w:r>
              <w:t>.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>
            <w:r>
              <w:t>1837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>
            <w:r>
              <w:t>Queen Victoria is crowned</w:t>
            </w:r>
          </w:p>
        </w:tc>
      </w:tr>
      <w:tr>
        <w:trPr>
          <w:trHeight w:val="536"/>
        </w:trPr>
        <w:tc>
          <w:tcPr>
            <w:tcW w:w="4839" w:type="dxa"/>
            <w:tcBorders>
              <w:bottom w:val="single" w:sz="4" w:space="0" w:color="auto"/>
            </w:tcBorders>
          </w:tcPr>
          <w:p>
            <w:r>
              <w:t xml:space="preserve">John Keats (1795-1821): </w:t>
            </w:r>
            <w:r>
              <w:rPr>
                <w:i/>
              </w:rPr>
              <w:t>The Odes</w:t>
            </w:r>
            <w:r>
              <w:t>, especially ‘Ode to a Grecian Urn’ and ‘Ode to a Nightingale’.</w:t>
            </w:r>
          </w:p>
        </w:tc>
        <w:tc>
          <w:tcPr>
            <w:tcW w:w="5660" w:type="dxa"/>
          </w:tcPr>
          <w:p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 xml:space="preserve">Walter Scott (1771-1832): </w:t>
            </w:r>
            <w:r>
              <w:rPr>
                <w:i/>
                <w:lang w:val="en"/>
              </w:rPr>
              <w:t>Waverley</w:t>
            </w:r>
            <w:r>
              <w:rPr>
                <w:lang w:val="en"/>
              </w:rPr>
              <w:t xml:space="preserve">; </w:t>
            </w:r>
            <w:r>
              <w:rPr>
                <w:i/>
                <w:lang w:val="en"/>
              </w:rPr>
              <w:t>The Heart of Midlothian</w:t>
            </w:r>
            <w:r>
              <w:rPr>
                <w:lang w:val="en"/>
              </w:rPr>
              <w:t xml:space="preserve">; </w:t>
            </w:r>
            <w:r>
              <w:rPr>
                <w:i/>
                <w:lang w:val="en"/>
              </w:rPr>
              <w:t>Rob Roy</w:t>
            </w:r>
            <w:r>
              <w:rPr>
                <w:lang w:val="en"/>
              </w:rPr>
              <w:t>.</w:t>
            </w: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b/>
                <w:sz w:val="28"/>
                <w:lang w:val="en"/>
              </w:rPr>
            </w:pPr>
            <w:r>
              <w:rPr>
                <w:b/>
                <w:sz w:val="28"/>
                <w:lang w:val="en"/>
              </w:rPr>
              <w:t>Key Dramatists</w:t>
            </w:r>
          </w:p>
          <w:p>
            <w:pPr>
              <w:jc w:val="center"/>
            </w:pPr>
            <w:r>
              <w:t>(dates, significant texts)</w:t>
            </w:r>
          </w:p>
        </w:tc>
      </w:tr>
      <w:tr>
        <w:trPr>
          <w:trHeight w:val="281"/>
        </w:trPr>
        <w:tc>
          <w:tcPr>
            <w:tcW w:w="4839" w:type="dxa"/>
            <w:tcBorders>
              <w:bottom w:val="single" w:sz="4" w:space="0" w:color="auto"/>
            </w:tcBorders>
          </w:tcPr>
          <w:p>
            <w:r>
              <w:t xml:space="preserve">Robert Burns (1759-1796): ‘To a Haggis’; ‘Tam </w:t>
            </w:r>
            <w:proofErr w:type="spellStart"/>
            <w:r>
              <w:t>O’Shanter</w:t>
            </w:r>
            <w:proofErr w:type="spellEnd"/>
            <w:r>
              <w:t>’; ‘To a Mouse’; ‘Auld Lang Sine’.</w:t>
            </w:r>
          </w:p>
        </w:tc>
        <w:tc>
          <w:tcPr>
            <w:tcW w:w="5660" w:type="dxa"/>
          </w:tcPr>
          <w:p>
            <w:pPr>
              <w:pStyle w:val="NoSpacing"/>
              <w:jc w:val="center"/>
              <w:rPr>
                <w:i/>
                <w:lang w:val="en"/>
              </w:rPr>
            </w:pPr>
            <w:r>
              <w:rPr>
                <w:lang w:val="en"/>
              </w:rPr>
              <w:t xml:space="preserve">* </w:t>
            </w:r>
            <w:r>
              <w:rPr>
                <w:i/>
                <w:lang w:val="en"/>
              </w:rPr>
              <w:t xml:space="preserve">Jane Austen (1775-1817): </w:t>
            </w:r>
            <w:r>
              <w:rPr>
                <w:i/>
                <w:u w:val="single"/>
                <w:lang w:val="en"/>
              </w:rPr>
              <w:t>Sense and Sensibility</w:t>
            </w:r>
            <w:r>
              <w:rPr>
                <w:i/>
                <w:lang w:val="en"/>
              </w:rPr>
              <w:t xml:space="preserve">; </w:t>
            </w:r>
            <w:proofErr w:type="spellStart"/>
            <w:r>
              <w:rPr>
                <w:i/>
                <w:u w:val="single"/>
                <w:lang w:val="en"/>
              </w:rPr>
              <w:t>Norhtanger</w:t>
            </w:r>
            <w:proofErr w:type="spellEnd"/>
            <w:r>
              <w:rPr>
                <w:i/>
                <w:u w:val="single"/>
                <w:lang w:val="en"/>
              </w:rPr>
              <w:t xml:space="preserve"> Abbey</w:t>
            </w:r>
            <w:r>
              <w:rPr>
                <w:i/>
                <w:lang w:val="en"/>
              </w:rPr>
              <w:t xml:space="preserve">; </w:t>
            </w:r>
            <w:r>
              <w:rPr>
                <w:i/>
                <w:u w:val="single"/>
                <w:lang w:val="en"/>
              </w:rPr>
              <w:t>Pride and Prejudice</w:t>
            </w:r>
            <w:r>
              <w:rPr>
                <w:i/>
                <w:lang w:val="en"/>
              </w:rPr>
              <w:t xml:space="preserve">; </w:t>
            </w:r>
            <w:r>
              <w:rPr>
                <w:i/>
                <w:u w:val="single"/>
                <w:lang w:val="en"/>
              </w:rPr>
              <w:t>Emma</w:t>
            </w:r>
            <w:r>
              <w:rPr>
                <w:i/>
                <w:lang w:val="en"/>
              </w:rPr>
              <w:t>. *</w:t>
            </w:r>
          </w:p>
        </w:tc>
        <w:tc>
          <w:tcPr>
            <w:tcW w:w="4989" w:type="dxa"/>
            <w:gridSpan w:val="2"/>
          </w:tcPr>
          <w:p>
            <w:r>
              <w:t xml:space="preserve">William Shakespeare (1564-1616): </w:t>
            </w:r>
            <w:r>
              <w:rPr>
                <w:i/>
              </w:rPr>
              <w:t>King Lear</w:t>
            </w:r>
            <w:r>
              <w:t xml:space="preserve">; </w:t>
            </w:r>
            <w:r>
              <w:rPr>
                <w:i/>
              </w:rPr>
              <w:t>Hamlet</w:t>
            </w:r>
            <w:r>
              <w:t xml:space="preserve">; </w:t>
            </w:r>
            <w:r>
              <w:rPr>
                <w:i/>
              </w:rPr>
              <w:t>Romeo and Juliet</w:t>
            </w:r>
            <w:r>
              <w:t xml:space="preserve">; </w:t>
            </w:r>
            <w:r>
              <w:rPr>
                <w:i/>
              </w:rPr>
              <w:t>The Tempest</w:t>
            </w:r>
            <w:r>
              <w:t>.</w:t>
            </w:r>
          </w:p>
        </w:tc>
      </w:tr>
    </w:tbl>
    <w:p/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7D4B"/>
    <w:multiLevelType w:val="hybridMultilevel"/>
    <w:tmpl w:val="97C4DBD6"/>
    <w:lvl w:ilvl="0" w:tplc="DB0C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466A5"/>
    <w:multiLevelType w:val="hybridMultilevel"/>
    <w:tmpl w:val="194A75C4"/>
    <w:lvl w:ilvl="0" w:tplc="022CC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Mechie</dc:creator>
  <cp:lastModifiedBy>Calum Mechie</cp:lastModifiedBy>
  <cp:revision>2</cp:revision>
  <cp:lastPrinted>2016-02-26T08:05:00Z</cp:lastPrinted>
  <dcterms:created xsi:type="dcterms:W3CDTF">2016-02-25T15:25:00Z</dcterms:created>
  <dcterms:modified xsi:type="dcterms:W3CDTF">2016-02-26T08:13:00Z</dcterms:modified>
</cp:coreProperties>
</file>